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 w:rsidR="00160E8D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F771A1">
                    <w:rPr>
                      <w:rFonts w:ascii="PT Astra Serif" w:hAnsi="PT Astra Serif" w:cs="Times New Roman"/>
                    </w:rPr>
                    <w:t>27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F771A1">
                    <w:rPr>
                      <w:rFonts w:ascii="PT Astra Serif" w:hAnsi="PT Astra Serif" w:cs="Times New Roman"/>
                    </w:rPr>
                    <w:t>10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F771A1">
                    <w:rPr>
                      <w:rFonts w:ascii="PT Astra Serif" w:hAnsi="PT Astra Serif" w:cs="Times New Roman"/>
                    </w:rPr>
                    <w:t>100-561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418"/>
        <w:gridCol w:w="1444"/>
      </w:tblGrid>
      <w:tr w:rsidR="00141EDE" w:rsidRPr="00907ADE" w:rsidTr="00907ADE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907ADE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907ADE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418"/>
        <w:gridCol w:w="1417"/>
      </w:tblGrid>
      <w:tr w:rsidR="00B535CB" w:rsidRPr="00B37F41" w:rsidTr="003E6EC2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5CB" w:rsidRPr="00B535CB" w:rsidRDefault="00B535CB" w:rsidP="00B535C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535C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535CB" w:rsidRDefault="00B535CB" w:rsidP="00B535C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535C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535CB" w:rsidRDefault="00B535CB" w:rsidP="00B535C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535C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535CB" w:rsidRDefault="00B535CB" w:rsidP="00B535C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535C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535CB" w:rsidRDefault="00B535CB" w:rsidP="00B535C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535C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535CB" w:rsidRDefault="00B535CB" w:rsidP="00B535C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535C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535CB" w:rsidRDefault="00B535CB" w:rsidP="00B535C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535C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535CB" w:rsidRDefault="00B535CB" w:rsidP="00B535C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535C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535CB" w:rsidRDefault="00B535CB" w:rsidP="00B535C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535CB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535CB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138 067,9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105 318,2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107 577,9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82 921,6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67 874,1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69 615,1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58 590,8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37F41" w:rsidRPr="00B37F41" w:rsidTr="00B535C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B37F41" w:rsidRPr="00B37F41" w:rsidTr="00B535CB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39 537,5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39 501,8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39 501,8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11 602,9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B37F41" w:rsidRPr="00B37F41" w:rsidTr="00B535C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21 206,6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18 463,9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18 389,0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5 252,1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5 252,1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2 389,0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1 730,7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27 430,7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"Развитие транспортной системы на территории Петровского муниципального </w:t>
            </w: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37F41" w:rsidRPr="00B37F41" w:rsidTr="00B535CB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"Независимая оценка рыночной стоимости жилых помещений в аварийных многоквартирных домах"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оказанием коммунально-бытовых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14 446,2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B37F41" w:rsidRPr="00B37F41" w:rsidTr="00B535CB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10 037,0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B37F41" w:rsidRPr="00B37F41" w:rsidTr="00B535C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37F41" w:rsidRPr="00B37F41" w:rsidTr="00B535CB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569 322,6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504 336,9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536 169,6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564 142,8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499 157,2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530 989,9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130 234,0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130 034,0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130 034,0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123 665,5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39 562,5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9 392,3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72 815,5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72 815,5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59 558,1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13 257,4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6 357,5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355 993,0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354 875,5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354 715,6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37F41" w:rsidRPr="00B37F41" w:rsidTr="00B535C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6 495,1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282 454,2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29 777,7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29 777,7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20 033,6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9 744,1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14 934,7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6 353,4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6 353,4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4 919,9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10 763,7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37F41" w:rsidRPr="00B37F41" w:rsidTr="00B535C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B37F41" w:rsidRPr="00B37F41" w:rsidTr="00B535C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48 680,8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15 627,2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16 436,8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27 666,2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B37F41" w:rsidRPr="00B37F41" w:rsidTr="00B535CB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37F41" w:rsidRPr="00B37F41" w:rsidTr="00B535C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23 881,8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26 363,8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20 165,7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18 592,1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18 092,1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1 770,3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B37F41" w:rsidRPr="00B37F41" w:rsidTr="00B535CB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15 330,4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15 330,4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1 634,4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B37F41" w:rsidRPr="00B37F41" w:rsidTr="00B535CB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101 944,5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101 944,5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85 162,4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85 162,4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40 838,8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2 838,3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30 322,2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13 991,4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37F41" w:rsidRPr="00B37F41" w:rsidTr="00B535C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B37F41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16 782,1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15 233,2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15 233,2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B37F41" w:rsidRPr="00B37F41" w:rsidTr="00B535C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B37F41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B37F41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37F41" w:rsidRPr="00B37F41" w:rsidTr="00B535C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F41" w:rsidRPr="00B37F41" w:rsidRDefault="00B37F41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F41" w:rsidRPr="00B37F41" w:rsidRDefault="00B37F41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535CB" w:rsidRPr="00B37F41" w:rsidTr="0091659E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Default="00B535CB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  <w:p w:rsidR="00B535CB" w:rsidRPr="00B37F41" w:rsidRDefault="00B535CB" w:rsidP="00B535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37F41" w:rsidRDefault="00B535CB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37F41" w:rsidRDefault="00B535CB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37F41" w:rsidRDefault="00B535CB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37F41" w:rsidRDefault="00B535CB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37F41" w:rsidRDefault="00B535CB" w:rsidP="00B37F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37F41" w:rsidRDefault="00B535CB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838 619,9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37F41" w:rsidRDefault="00B535CB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695 364,1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5CB" w:rsidRPr="00B37F41" w:rsidRDefault="00B535CB" w:rsidP="00B37F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37F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712 384,4</w:t>
            </w:r>
            <w:r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AD34CE" w:rsidRPr="00907ADE" w:rsidRDefault="00AD34CE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Pr="001856A6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                                                                          </w:t>
      </w:r>
      <w:r w:rsidR="00F333C1" w:rsidRPr="001856A6">
        <w:rPr>
          <w:rFonts w:ascii="PT Astra Serif" w:hAnsi="PT Astra Serif" w:cs="Times New Roman"/>
          <w:sz w:val="24"/>
          <w:szCs w:val="24"/>
        </w:rPr>
        <w:t>О.С.Лысенко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605" w:rsidRDefault="00E21605" w:rsidP="002F0C1B">
      <w:pPr>
        <w:spacing w:after="0" w:line="240" w:lineRule="auto"/>
      </w:pPr>
      <w:r>
        <w:separator/>
      </w:r>
    </w:p>
  </w:endnote>
  <w:endnote w:type="continuationSeparator" w:id="0">
    <w:p w:rsidR="00E21605" w:rsidRDefault="00E21605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2E3EB1" w:rsidRDefault="007437B5">
        <w:pPr>
          <w:pStyle w:val="aa"/>
          <w:jc w:val="right"/>
        </w:pPr>
        <w:r>
          <w:rPr>
            <w:noProof/>
          </w:rPr>
          <w:fldChar w:fldCharType="begin"/>
        </w:r>
        <w:r w:rsidR="002E3EB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771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3EB1" w:rsidRDefault="002E3EB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605" w:rsidRDefault="00E21605" w:rsidP="002F0C1B">
      <w:pPr>
        <w:spacing w:after="0" w:line="240" w:lineRule="auto"/>
      </w:pPr>
      <w:r>
        <w:separator/>
      </w:r>
    </w:p>
  </w:footnote>
  <w:footnote w:type="continuationSeparator" w:id="0">
    <w:p w:rsidR="00E21605" w:rsidRDefault="00E21605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526BD"/>
    <w:rsid w:val="00052924"/>
    <w:rsid w:val="00070D3B"/>
    <w:rsid w:val="00076B91"/>
    <w:rsid w:val="00082115"/>
    <w:rsid w:val="000837DF"/>
    <w:rsid w:val="00084B76"/>
    <w:rsid w:val="0009617D"/>
    <w:rsid w:val="000A3338"/>
    <w:rsid w:val="000A5481"/>
    <w:rsid w:val="000A5818"/>
    <w:rsid w:val="000C2165"/>
    <w:rsid w:val="000C24E1"/>
    <w:rsid w:val="000C26AC"/>
    <w:rsid w:val="000C54D2"/>
    <w:rsid w:val="000C6221"/>
    <w:rsid w:val="000E0C6B"/>
    <w:rsid w:val="000E36BE"/>
    <w:rsid w:val="000E443F"/>
    <w:rsid w:val="000E462C"/>
    <w:rsid w:val="000E7649"/>
    <w:rsid w:val="000F122E"/>
    <w:rsid w:val="000F46A2"/>
    <w:rsid w:val="00100F2B"/>
    <w:rsid w:val="00107943"/>
    <w:rsid w:val="001124E6"/>
    <w:rsid w:val="00123AF3"/>
    <w:rsid w:val="00127D70"/>
    <w:rsid w:val="00131945"/>
    <w:rsid w:val="00131F89"/>
    <w:rsid w:val="00136752"/>
    <w:rsid w:val="00141EDE"/>
    <w:rsid w:val="00143A23"/>
    <w:rsid w:val="00145E9A"/>
    <w:rsid w:val="00153599"/>
    <w:rsid w:val="00160E8D"/>
    <w:rsid w:val="00166216"/>
    <w:rsid w:val="001754E3"/>
    <w:rsid w:val="0017717B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0C71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477F5"/>
    <w:rsid w:val="002512B3"/>
    <w:rsid w:val="0025472D"/>
    <w:rsid w:val="0025764F"/>
    <w:rsid w:val="002609C2"/>
    <w:rsid w:val="002A1310"/>
    <w:rsid w:val="002C2ABF"/>
    <w:rsid w:val="002D4495"/>
    <w:rsid w:val="002E250B"/>
    <w:rsid w:val="002E3EB1"/>
    <w:rsid w:val="002F0C1B"/>
    <w:rsid w:val="00301862"/>
    <w:rsid w:val="00315466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4BEF"/>
    <w:rsid w:val="003560B1"/>
    <w:rsid w:val="00356241"/>
    <w:rsid w:val="00362774"/>
    <w:rsid w:val="003707B9"/>
    <w:rsid w:val="003810CE"/>
    <w:rsid w:val="00386BF0"/>
    <w:rsid w:val="00387507"/>
    <w:rsid w:val="00395AAB"/>
    <w:rsid w:val="003A4606"/>
    <w:rsid w:val="003A5FDC"/>
    <w:rsid w:val="003A6746"/>
    <w:rsid w:val="003A736D"/>
    <w:rsid w:val="003A7EEA"/>
    <w:rsid w:val="003B0D80"/>
    <w:rsid w:val="003B3230"/>
    <w:rsid w:val="003B4555"/>
    <w:rsid w:val="003B511F"/>
    <w:rsid w:val="003D13B9"/>
    <w:rsid w:val="003D13C1"/>
    <w:rsid w:val="003D23E8"/>
    <w:rsid w:val="003D57D6"/>
    <w:rsid w:val="003D6505"/>
    <w:rsid w:val="003E4714"/>
    <w:rsid w:val="003E6EC2"/>
    <w:rsid w:val="003F2F2E"/>
    <w:rsid w:val="003F32D1"/>
    <w:rsid w:val="003F51B1"/>
    <w:rsid w:val="004001E8"/>
    <w:rsid w:val="00406B81"/>
    <w:rsid w:val="00411A74"/>
    <w:rsid w:val="004133EB"/>
    <w:rsid w:val="0041530D"/>
    <w:rsid w:val="00421F74"/>
    <w:rsid w:val="00436433"/>
    <w:rsid w:val="00437063"/>
    <w:rsid w:val="00444BD5"/>
    <w:rsid w:val="00447321"/>
    <w:rsid w:val="00454E96"/>
    <w:rsid w:val="004640A4"/>
    <w:rsid w:val="00464D31"/>
    <w:rsid w:val="004740F9"/>
    <w:rsid w:val="00474946"/>
    <w:rsid w:val="00475D70"/>
    <w:rsid w:val="00477BE5"/>
    <w:rsid w:val="0048098F"/>
    <w:rsid w:val="00485E22"/>
    <w:rsid w:val="00487830"/>
    <w:rsid w:val="00496E06"/>
    <w:rsid w:val="004A628D"/>
    <w:rsid w:val="004B3276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004C"/>
    <w:rsid w:val="004E5414"/>
    <w:rsid w:val="005030C1"/>
    <w:rsid w:val="00511D0E"/>
    <w:rsid w:val="0051787A"/>
    <w:rsid w:val="00522F3C"/>
    <w:rsid w:val="00532237"/>
    <w:rsid w:val="00532CE4"/>
    <w:rsid w:val="00536319"/>
    <w:rsid w:val="00544927"/>
    <w:rsid w:val="00547DDF"/>
    <w:rsid w:val="00552C62"/>
    <w:rsid w:val="00557C5A"/>
    <w:rsid w:val="00564D0B"/>
    <w:rsid w:val="00570433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95C31"/>
    <w:rsid w:val="006A3C84"/>
    <w:rsid w:val="006A3DBD"/>
    <w:rsid w:val="006B03EA"/>
    <w:rsid w:val="006B3F4B"/>
    <w:rsid w:val="006C27DA"/>
    <w:rsid w:val="006F29FF"/>
    <w:rsid w:val="00701D26"/>
    <w:rsid w:val="007069D7"/>
    <w:rsid w:val="007146FD"/>
    <w:rsid w:val="00716E45"/>
    <w:rsid w:val="00720763"/>
    <w:rsid w:val="00720D4C"/>
    <w:rsid w:val="007307D7"/>
    <w:rsid w:val="007437B5"/>
    <w:rsid w:val="00743A74"/>
    <w:rsid w:val="007446BB"/>
    <w:rsid w:val="00752E50"/>
    <w:rsid w:val="007532D5"/>
    <w:rsid w:val="0075657B"/>
    <w:rsid w:val="00764657"/>
    <w:rsid w:val="0076797B"/>
    <w:rsid w:val="007725CC"/>
    <w:rsid w:val="007750A6"/>
    <w:rsid w:val="00776667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E5620"/>
    <w:rsid w:val="007F6C5F"/>
    <w:rsid w:val="00811FD3"/>
    <w:rsid w:val="008353EF"/>
    <w:rsid w:val="00843E07"/>
    <w:rsid w:val="00851B8F"/>
    <w:rsid w:val="008547C9"/>
    <w:rsid w:val="008559ED"/>
    <w:rsid w:val="008566B5"/>
    <w:rsid w:val="00871FE4"/>
    <w:rsid w:val="00887D28"/>
    <w:rsid w:val="008924CB"/>
    <w:rsid w:val="00897886"/>
    <w:rsid w:val="008A2432"/>
    <w:rsid w:val="008A327C"/>
    <w:rsid w:val="008A3CD7"/>
    <w:rsid w:val="008B3342"/>
    <w:rsid w:val="008B5075"/>
    <w:rsid w:val="008B57BA"/>
    <w:rsid w:val="008C0E7D"/>
    <w:rsid w:val="008C16AB"/>
    <w:rsid w:val="008C2094"/>
    <w:rsid w:val="008C21FD"/>
    <w:rsid w:val="008C4E7D"/>
    <w:rsid w:val="008C7615"/>
    <w:rsid w:val="008E4BCF"/>
    <w:rsid w:val="008E6676"/>
    <w:rsid w:val="008E6E0A"/>
    <w:rsid w:val="008E7484"/>
    <w:rsid w:val="008F131C"/>
    <w:rsid w:val="008F715A"/>
    <w:rsid w:val="00900389"/>
    <w:rsid w:val="00901464"/>
    <w:rsid w:val="00902130"/>
    <w:rsid w:val="00904ABF"/>
    <w:rsid w:val="00906FE5"/>
    <w:rsid w:val="00907ADE"/>
    <w:rsid w:val="00924CAF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84C0A"/>
    <w:rsid w:val="009A0425"/>
    <w:rsid w:val="009A4A9C"/>
    <w:rsid w:val="009B22AD"/>
    <w:rsid w:val="009C1797"/>
    <w:rsid w:val="009C3357"/>
    <w:rsid w:val="009C3BF3"/>
    <w:rsid w:val="009C50AC"/>
    <w:rsid w:val="009D7D75"/>
    <w:rsid w:val="009E3E21"/>
    <w:rsid w:val="009E448F"/>
    <w:rsid w:val="009E535B"/>
    <w:rsid w:val="009E64BC"/>
    <w:rsid w:val="009F1A4F"/>
    <w:rsid w:val="009F1AA4"/>
    <w:rsid w:val="009F2333"/>
    <w:rsid w:val="00A12548"/>
    <w:rsid w:val="00A14A16"/>
    <w:rsid w:val="00A34823"/>
    <w:rsid w:val="00A36535"/>
    <w:rsid w:val="00A43DAA"/>
    <w:rsid w:val="00A60269"/>
    <w:rsid w:val="00A60BF7"/>
    <w:rsid w:val="00A664D2"/>
    <w:rsid w:val="00A75072"/>
    <w:rsid w:val="00A761F7"/>
    <w:rsid w:val="00A82592"/>
    <w:rsid w:val="00A84911"/>
    <w:rsid w:val="00A871EE"/>
    <w:rsid w:val="00A93A39"/>
    <w:rsid w:val="00A94EFF"/>
    <w:rsid w:val="00A95BB5"/>
    <w:rsid w:val="00A96EE7"/>
    <w:rsid w:val="00AB0F9A"/>
    <w:rsid w:val="00AB3451"/>
    <w:rsid w:val="00AC056A"/>
    <w:rsid w:val="00AC16A5"/>
    <w:rsid w:val="00AC3546"/>
    <w:rsid w:val="00AC51B2"/>
    <w:rsid w:val="00AD34CE"/>
    <w:rsid w:val="00AD7C6F"/>
    <w:rsid w:val="00AE3664"/>
    <w:rsid w:val="00AE781A"/>
    <w:rsid w:val="00AF2E98"/>
    <w:rsid w:val="00AF3FE7"/>
    <w:rsid w:val="00AF6B61"/>
    <w:rsid w:val="00B020E1"/>
    <w:rsid w:val="00B02BEF"/>
    <w:rsid w:val="00B0627A"/>
    <w:rsid w:val="00B108AA"/>
    <w:rsid w:val="00B2440B"/>
    <w:rsid w:val="00B33972"/>
    <w:rsid w:val="00B37F41"/>
    <w:rsid w:val="00B471E8"/>
    <w:rsid w:val="00B535CB"/>
    <w:rsid w:val="00B539EE"/>
    <w:rsid w:val="00B55AE6"/>
    <w:rsid w:val="00B70742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C5BFE"/>
    <w:rsid w:val="00BD0D71"/>
    <w:rsid w:val="00BE0BD9"/>
    <w:rsid w:val="00BE14CA"/>
    <w:rsid w:val="00BE339F"/>
    <w:rsid w:val="00BF07C4"/>
    <w:rsid w:val="00BF173E"/>
    <w:rsid w:val="00BF1937"/>
    <w:rsid w:val="00BF1C6A"/>
    <w:rsid w:val="00BF2F23"/>
    <w:rsid w:val="00BF4738"/>
    <w:rsid w:val="00C1751B"/>
    <w:rsid w:val="00C249BF"/>
    <w:rsid w:val="00C278D7"/>
    <w:rsid w:val="00C3067F"/>
    <w:rsid w:val="00C36F3B"/>
    <w:rsid w:val="00C5299B"/>
    <w:rsid w:val="00C5650C"/>
    <w:rsid w:val="00C61D5B"/>
    <w:rsid w:val="00C632F8"/>
    <w:rsid w:val="00C63725"/>
    <w:rsid w:val="00C71CCA"/>
    <w:rsid w:val="00C72916"/>
    <w:rsid w:val="00C84050"/>
    <w:rsid w:val="00C92301"/>
    <w:rsid w:val="00C94D67"/>
    <w:rsid w:val="00CC0374"/>
    <w:rsid w:val="00CD53F3"/>
    <w:rsid w:val="00CD5AA3"/>
    <w:rsid w:val="00CE1E59"/>
    <w:rsid w:val="00CF0C47"/>
    <w:rsid w:val="00CF5BB8"/>
    <w:rsid w:val="00D00335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048C"/>
    <w:rsid w:val="00D3348F"/>
    <w:rsid w:val="00D37E51"/>
    <w:rsid w:val="00D42F18"/>
    <w:rsid w:val="00D67E3A"/>
    <w:rsid w:val="00D71FBD"/>
    <w:rsid w:val="00D82C44"/>
    <w:rsid w:val="00D87737"/>
    <w:rsid w:val="00D87AEA"/>
    <w:rsid w:val="00D905EC"/>
    <w:rsid w:val="00DB3094"/>
    <w:rsid w:val="00DB7755"/>
    <w:rsid w:val="00DD190F"/>
    <w:rsid w:val="00DE2DDC"/>
    <w:rsid w:val="00DE3D88"/>
    <w:rsid w:val="00DF5775"/>
    <w:rsid w:val="00DF699A"/>
    <w:rsid w:val="00E03CAF"/>
    <w:rsid w:val="00E0499E"/>
    <w:rsid w:val="00E0766E"/>
    <w:rsid w:val="00E14F05"/>
    <w:rsid w:val="00E21605"/>
    <w:rsid w:val="00E24CEA"/>
    <w:rsid w:val="00E24F25"/>
    <w:rsid w:val="00E44303"/>
    <w:rsid w:val="00E46954"/>
    <w:rsid w:val="00E526EE"/>
    <w:rsid w:val="00E65B46"/>
    <w:rsid w:val="00E67686"/>
    <w:rsid w:val="00E702DD"/>
    <w:rsid w:val="00E746FD"/>
    <w:rsid w:val="00E80AE8"/>
    <w:rsid w:val="00E833E2"/>
    <w:rsid w:val="00E86DF8"/>
    <w:rsid w:val="00EA086A"/>
    <w:rsid w:val="00EA138A"/>
    <w:rsid w:val="00EA3C7A"/>
    <w:rsid w:val="00EC0122"/>
    <w:rsid w:val="00EC0C3C"/>
    <w:rsid w:val="00EC38B9"/>
    <w:rsid w:val="00ED53E4"/>
    <w:rsid w:val="00EE1963"/>
    <w:rsid w:val="00EF1ABF"/>
    <w:rsid w:val="00EF3677"/>
    <w:rsid w:val="00EF3F57"/>
    <w:rsid w:val="00F05D47"/>
    <w:rsid w:val="00F06C31"/>
    <w:rsid w:val="00F12162"/>
    <w:rsid w:val="00F25C0F"/>
    <w:rsid w:val="00F32E8A"/>
    <w:rsid w:val="00F333C1"/>
    <w:rsid w:val="00F344D6"/>
    <w:rsid w:val="00F3494E"/>
    <w:rsid w:val="00F35969"/>
    <w:rsid w:val="00F44B93"/>
    <w:rsid w:val="00F5158B"/>
    <w:rsid w:val="00F54DD8"/>
    <w:rsid w:val="00F55FA8"/>
    <w:rsid w:val="00F6480D"/>
    <w:rsid w:val="00F70B77"/>
    <w:rsid w:val="00F71E22"/>
    <w:rsid w:val="00F73634"/>
    <w:rsid w:val="00F74DFE"/>
    <w:rsid w:val="00F7510A"/>
    <w:rsid w:val="00F7566E"/>
    <w:rsid w:val="00F771A1"/>
    <w:rsid w:val="00F82BAF"/>
    <w:rsid w:val="00F91C15"/>
    <w:rsid w:val="00F9217F"/>
    <w:rsid w:val="00F933A4"/>
    <w:rsid w:val="00FB4148"/>
    <w:rsid w:val="00FB4FE4"/>
    <w:rsid w:val="00FB78A0"/>
    <w:rsid w:val="00FC7B74"/>
    <w:rsid w:val="00FC7FD8"/>
    <w:rsid w:val="00FE16BE"/>
    <w:rsid w:val="00FE582F"/>
    <w:rsid w:val="00FE6335"/>
    <w:rsid w:val="00FF25B8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CF17D-80FC-433A-BF4F-C51F6CB6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61</Pages>
  <Words>17408</Words>
  <Characters>99230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234</cp:revision>
  <cp:lastPrinted>2019-11-05T14:04:00Z</cp:lastPrinted>
  <dcterms:created xsi:type="dcterms:W3CDTF">2017-11-08T08:57:00Z</dcterms:created>
  <dcterms:modified xsi:type="dcterms:W3CDTF">2022-10-27T13:41:00Z</dcterms:modified>
</cp:coreProperties>
</file>